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宋体" w:hAnsi="宋体" w:eastAsia="宋体" w:cs="宋体"/>
                <w:b/>
                <w:sz w:val="52"/>
                <w:lang w:eastAsia="zh-CN"/>
              </w:rPr>
            </w:pPr>
            <w:r>
              <w:rPr>
                <w:rFonts w:ascii="宋体" w:hAnsi="宋体" w:eastAsia="宋体" w:cs="宋体"/>
                <w:b/>
                <w:sz w:val="52"/>
              </w:rPr>
              <w:t>2024年度</w:t>
            </w:r>
            <w:r>
              <w:rPr>
                <w:rFonts w:ascii="宋体" w:hAnsi="宋体" w:eastAsia="宋体" w:cs="宋体"/>
                <w:b/>
                <w:sz w:val="52"/>
              </w:rPr>
              <w:cr/>
            </w:r>
          </w:p>
          <w:p>
            <w:pPr>
              <w:ind w:right="284" w:rightChars="129"/>
              <w:jc w:val="center"/>
              <w:rPr>
                <w:rFonts w:hint="eastAsia" w:ascii="宋体" w:hAnsi="宋体" w:eastAsia="宋体" w:cs="宋体"/>
                <w:b/>
                <w:sz w:val="52"/>
                <w:lang w:eastAsia="zh-CN"/>
              </w:rPr>
            </w:pPr>
            <w:r>
              <w:rPr>
                <w:rFonts w:ascii="宋体" w:hAnsi="宋体" w:eastAsia="宋体" w:cs="宋体"/>
                <w:b/>
                <w:sz w:val="52"/>
              </w:rPr>
              <w:t>江苏省社科院泰州分院</w:t>
            </w:r>
            <w:r>
              <w:rPr>
                <w:rFonts w:ascii="宋体" w:hAnsi="宋体" w:eastAsia="宋体" w:cs="宋体"/>
                <w:b/>
                <w:sz w:val="52"/>
              </w:rPr>
              <w:cr/>
            </w:r>
          </w:p>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bookmarkStart w:id="0" w:name="_GoBack"/>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bookmarkEnd w:id="0"/>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1.整合全市社会科学研究资源，加强对全市经济社会发展重大问题的研究，为市委、市政府科学决策提供参考。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2.组织实施社科类市级课题研究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3.组织研讨会、高层论坛等学术活动，开展学术交流。</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4.编辑出版《泰州经济社会发展蓝皮书》《泰州论丛》。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5.编印《决策咨询》。</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6.完成市委、市政府交办的其他任务。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本单位内设机构包括：经济发展研究所、社会发展研究所、文化所。本单位无下属单位。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2024年，市社科联（院）将始终坚持以习近平新时代中国特色社会主义思想为指导，学习贯彻习近平文化思想，牢牢把握推进中国式现代化这一最大的政治，牢牢把握坚持高质量发展这一新时代的硬道理，深入落实省、市工作部署要求，创新实施社科工作争先进位“12345”行动计划，突出主责主业，强化内联外合，用奋斗作笔，写大地文章，用奉献作答，绘泰州画卷，积极在泰州建设中华民族现代文明的奋斗和实践中展现社科担当，为谱写“强富美高”新泰州现代化建设新篇章贡献社科力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展现社科担当，我们必须往前闯；贡献社科力量，我们敢于挑重担。谋划新年工作，目标清晰，重点在抓，思路明晰，关键在干，那就要不慕虚荣，求真务实，不务虚功，勤勉踏实，不图虚名，狠抓落实。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强化理论阐释，增强思想引领力。我们将持之以恒推动全市社科界深入学懂弄通习近平新时代中国特色社会主义思想和习近平文化思想，进一步强化对党的创新理论系统性、整体性、学理性研究和阐释，聚焦“明体达用”“百姓日用”“枝叶关情”“人文经济学”等重大命题，强化理论研究。我们将紧扣“把泰州建设成为习近平文化思想的‘明体达用’新高地、中华民族现代文明的‘日用不觉’新窗口”，坚决扛起新的文化使命的社科担当，自觉当好泰州文化传承发展的“研究员”“讲解员”和“宣传员”，把更多有温度、接地气、聚人气的“精神食粮”送到百姓家门口，为中国式现代化泰州新实践提供精神文化动力。我们将持续优化《泰州社科网》《泰州论丛》等媒体平台的栏目设置，全年在省、市级以上重点媒体、期刊杂志等发出泰州声音、总结实践经验、推广先进典型，全年发表成果数量不低于20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是深化品牌塑造，增强社科创造力。信长星书记指出，泰州学派的文化之光一直耀眼而独特，我们将充分挖掘和利用包括泰州学派在内的泰州优秀传统文化，持续办好泰州学派学术峰会，编辑出版《泰州学派研究》，加快建设泰州学派研究院，谋划开设“乐学泰州大讲堂”，借助中国社科院哲学所“国家队”优势，协同开展“从明体达用到百姓日用——宋明理学中的泰州文化演进创新及其当代价值研究”，进一步彰显泰州“明体达用、百姓日用”的文化精华，更好推动优秀传统文化显性化、生活化、时代化。持续办好“泰州知道”微信号，紧扣社科工作的本源、本性、本真，做精做特“政策天线”“他山之石”“实践经验”等栏目，多一些有温度的微文、多一些有深度的热文、多一些有态度的时文。积极申报省第十八届哲学社会科学优秀成果奖，精心组织市第十四届哲学社会科学优秀成果奖评奖工作，着力破解优秀科研成果“一评了之、一奖了之”等问题，鼓励支持引导各类社科人才冲在前线、赢在一线，努力打造社科人才高地、理论研究高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是突出主责主业，增强社科贡献力。突出服务领导决策、服务中心工作、服务基层需求三大主责主业，我们将始终把推进中国式现代化作为最大的政治，聚焦经济建设这一中心工作和高质量发展这一首要任务，持续强化与市四套班子、市级机关部门的协同合作机制，积极发挥社科研究“五路大军”的互补优势，贴近中心工作，奔赴经济战线，融入基层一线，拓展纵深领域，强化跟踪研究，形成一批具有泰州辨识度的原创性自主型重磅成果，努力为各级干部提供可学可用的鲜活经验。深化落实“四微”行动，坚持生产力标准，开展沉浸式调研，深入重点园区、特色产业、边远乡镇等，形成一批切口小、视角新、短平快的“千字文”，打造具有泰州地域风格的社科工作品牌，以过硬的成果提升社科影响。朝着“文章变成文件，对策变成政策”的目标，全年编辑报送30期《决策咨询》报告，切实提升决策咨询工作“含金量”，努力打造决策咨询高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是筑牢社科阵地，增强社科向心力。社科联不只是联系社科工作的群团组织，更是意识形态的重要部门。我们将始终保持清醒头脑和政治定力，坚决贯彻落实意识形态工作责任制，坚持守土有责、守土负责、守土尽责，把习近平新时代中国特色社会主义思想的立场观点方法贯穿到课题研究、学术交流、成果评价等各环节，筑牢意识形态安全“护城河”。加强与市委宣传部、市文明办等联动，推动新时代文明中心、融媒体中心和各类场馆等成为市级社科普及基地。坚持量质并举，扩大总量，提高质量，全面延伸社科工作触角，打造一批示范性、标杆性社科阵地、“社科之家”，更好服务全市社科工作者。</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回望昨天的奋斗，我们感触颇深、心潮澎湃：我们收获的不仅仅是科研成果、工作实绩、社会好评，更多的是一种跳出自我、团结协作的精气神，一种挑战自我、摆脱边缘的精气神，一种超越自我、干事创业的精气神。展望明天的奋进，我们信心倍增、激情满怀：用奋斗作笔，写大地文章，用奉献作答，绘泰州画卷，这是我们每一个社科人都深知的“使命呼唤担当”，每一个人社科人都明白的“实干成就未来”。</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江苏省社科院泰州分院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江苏省社科院泰州分院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465.57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327.25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32.85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105.47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465.57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465.57</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465.57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465.57</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465.57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465.57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465.57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021002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江苏省社科院泰州分院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465.57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465.57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465.57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409.95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科学技术支出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20606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社会科学</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2060601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社会科学研究机构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2060602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社会科学研究</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江苏省社科院泰州分院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465.57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327.25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32.85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105.47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465.57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465.57</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465.57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409.95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384.92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25.03</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科学技术支出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20606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社会科学</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2060601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社会科学研究机构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2060602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社会科学研究</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江苏省社科院泰州分院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409.95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384.92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409.95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384.92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25.03</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20606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社会科学</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2060601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社会科学研究机构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2060602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社会科学研究</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409.95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384.92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江苏省社科院泰州分院</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江苏省社科院泰州分院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社科院工作经费（含《决策咨询快报》经费）（2024-2026）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江苏省社科院泰州分院2024年度收入、支出预算总计465.57万元，与上年相比收、支预算总计各增加22.71万元，增长5.13%。其中：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（一）收入预算总计465.57万元。包括：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1．本年收入合计465.57万元。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（1）一般公共预算拨款收入465.57万元，与上年相比增加22.71万元，增长5.13%。主要原因是人员经费增加。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（二）支出预算总计465.57万元。包括：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1．本年支出合计465.57万元。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科学技术支出（类）支出327.25万元，主要用于事业人员经费、公用支出、机关及事业单位机构运转和开展工作而发生的支出。与上年相比增加6.76万元，增长2.11%。主要原因是事业人员经费调整和公用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（2）社会保障和就业支出（类）支出32.85万元，主要用于在职人员养老保险和职业年金缴费。与上年相比增加0.04万元，增长0.12%。主要原因是人员养老和医保基数调整。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105.47万元，主要用于机关及事业单位按照国家规定为职工缴纳住房公积金、发放新职工购房补贴以及在职人员和退休人员提租补贴的支出。与上年相比增加15.91万元，增长17.76%。主要原因是公积金和住房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江苏省社科院泰州分院2024年收入预算合计465.57万元，包括本年收入465.57万元，上年结转结余0万元。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本年一般公共预算收入465.57万元，占100%；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江苏省社科院泰州分院2024年支出预算合计465.57万元，其中：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基本支出409.95万元，占88.05%；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项目支出55.62万元，占11.95%；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江苏省社科院泰州分院2024年度财政拨款收、支总预算465.57万元。与上年相比，财政拨款收、支总计各增加22.71万元，增长5.13%。主要原因是人员经费增加。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江苏省社科院泰州分院2024年财政拨款预算支出465.57万元，占本年支出合计的100%。与上年相比，财政拨款支出增加22.71万元，增长5.13%。主要原因是人员经费增加。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（一）科学技术支出（类）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1.社会科学（款）社会科学研究机构（项）支出271.63万元，与上年相比增加6.76万元，增长2.55%。主要原因是人员经费增加。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2.社会科学（款）社会科学研究（项）支出55.62万元，与上年预算数相同。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1.行政事业单位养老支出（款）机关事业单位基本养老保险缴费支出（项）支出21.9万元，与上年相比增加0.03万元，增长0.14%。主要原因是机关事业单位养老保险缴费基数调整。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2.行政事业单位养老支出（款）机关事业单位职业年金缴费支出（项）支出10.95万元，与上年相比增加0.01万元，增长0.09%。主要原因是机关事业单位职业年金缴费基数调整。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1.住房改革支出（款）住房公积金（项）支出36.55万元，与上年相比增加5.5万元，增长17.71%。主要原因是公积金基数调整。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2.住房改革支出（款）提租补贴（项）支出20.9万元，与上年相比增加3.02万元，增长16.89%。主要原因是住房补贴缴费基数调整。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3.住房改革支出（款）购房补贴（项）支出48.02万元，与上年相比增加7.39万元，增长18.19%。主要原因是购房补贴缴费基数调整。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江苏省社科院泰州分院2024年度财政拨款基本支出预算409.95万元，其中：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（一）人员经费384.92万元。主要包括：基本工资、津贴补贴、奖金、伙食补助费、绩效工资、机关事业单位基本养老保险缴费、职业年金缴费、职工基本医疗保险缴费、其他社会保障缴费、住房公积金、奖励金。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（二）公用经费25.03万元。主要包括：办公费、印刷费、水费、电费、公务接待费、工会经费、福利费、其他商品和服务支出。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江苏省社科院泰州分院2024年一般公共预算财政拨款支出预算465.57万元，与上年相比增加22.71万元，增长5.13%。主要原因是人员经费增加。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江苏省社科院泰州分院2024年度一般公共预算财政拨款基本支出预算409.95万元，其中：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（一）人员经费384.92万元。主要包括：基本工资、津贴补贴、奖金、伙食补助费、绩效工资、机关事业单位基本养老保险缴费、职业年金缴费、职工基本医疗保险缴费、其他社会保障缴费、住房公积金、奖励金。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（二）公用经费25.03万元。主要包括：办公费、印刷费、水费、电费、公务接待费、工会经费、福利费、其他商品和服务支出。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一般公共预算拨款安排的“三公”经费支出预算2.43万元，与上年预算数相同。其中，因公出国（境）费支出0万元，占“三公”经费的0%；公务用车购置及运行维护费支出0万元，占“三公”经费的0%；公务接待费支出2.43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3．公务接待费预算支出2.43万元，与上年预算数相同。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江苏省社科院泰州分院2024年度一般公共预算拨款安排的会议费预算支出0万元，与上年预算数相同。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江苏省社科院泰州分院2024年度一般公共预算拨款安排的培训费预算支出0万元，与上年预算数相同。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江苏省社科院泰州分院2024年国有资本经营预算支出0万元。与上年预算数相同。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2024年度政府采购支出预算总额6.6万元，其中：拟采购货物支出0万元、拟采购工程支出0万元、拟采购服务支出6.6万元。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465.57万元；本单位共2个项目纳入绩效目标管理，涉及财政性资金合计55.62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八、科学技术支出(类)社会科学(款)社会科学研究机构(项)</w:t>
      </w:r>
      <w:r>
        <w:rPr>
          <w:rFonts w:ascii="仿宋" w:hAnsi="仿宋" w:eastAsia="仿宋" w:cs="仿宋"/>
          <w:b/>
        </w:rPr>
        <w:t>：</w:t>
      </w:r>
      <w:r>
        <w:rPr>
          <w:rFonts w:hint="eastAsia" w:ascii="仿宋" w:hAnsi="仿宋" w:eastAsia="仿宋" w:cs="仿宋"/>
        </w:rPr>
        <w:t>反映各级社会科学院、中共中央所属社会科学研究机构、其他部门所属从事社会科学研究机构的基本支出。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九、科学技术支出(类)社会科学(款)社会科学研究(项)</w:t>
      </w:r>
      <w:r>
        <w:rPr>
          <w:rFonts w:ascii="仿宋" w:hAnsi="仿宋" w:eastAsia="仿宋" w:cs="仿宋"/>
          <w:b/>
        </w:rPr>
        <w:t>：</w:t>
      </w:r>
      <w:r>
        <w:rPr>
          <w:rFonts w:hint="eastAsia" w:ascii="仿宋" w:hAnsi="仿宋" w:eastAsia="仿宋" w:cs="仿宋"/>
        </w:rPr>
        <w:t>反映除社科基金支出外的社会科学研究支出。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江苏省社科院泰州分院</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76D04"/>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autoRedefine/>
    <w:qFormat/>
    <w:uiPriority w:val="1"/>
    <w:pPr>
      <w:ind w:left="-40" w:firstLine="0"/>
      <w:outlineLvl w:val="0"/>
    </w:pPr>
    <w:rPr>
      <w:sz w:val="52"/>
      <w:szCs w:val="52"/>
    </w:rPr>
  </w:style>
  <w:style w:type="paragraph" w:styleId="3">
    <w:name w:val="heading 2"/>
    <w:basedOn w:val="1"/>
    <w:next w:val="1"/>
    <w:autoRedefine/>
    <w:qFormat/>
    <w:uiPriority w:val="1"/>
    <w:pPr>
      <w:ind w:right="18" w:firstLine="0"/>
      <w:jc w:val="center"/>
      <w:outlineLvl w:val="1"/>
    </w:pPr>
    <w:rPr>
      <w:sz w:val="44"/>
      <w:szCs w:val="44"/>
    </w:rPr>
  </w:style>
  <w:style w:type="paragraph" w:styleId="4">
    <w:name w:val="heading 3"/>
    <w:basedOn w:val="1"/>
    <w:next w:val="1"/>
    <w:autoRedefine/>
    <w:qFormat/>
    <w:uiPriority w:val="1"/>
    <w:pPr>
      <w:ind w:left="1" w:firstLine="0"/>
      <w:jc w:val="center"/>
      <w:outlineLvl w:val="2"/>
    </w:pPr>
    <w:rPr>
      <w:sz w:val="40"/>
      <w:szCs w:val="40"/>
    </w:rPr>
  </w:style>
  <w:style w:type="paragraph" w:styleId="5">
    <w:name w:val="heading 4"/>
    <w:basedOn w:val="1"/>
    <w:next w:val="1"/>
    <w:autoRedefine/>
    <w:qFormat/>
    <w:uiPriority w:val="1"/>
    <w:pPr>
      <w:jc w:val="center"/>
      <w:outlineLvl w:val="3"/>
    </w:pPr>
    <w:rPr>
      <w:sz w:val="36"/>
      <w:szCs w:val="36"/>
    </w:rPr>
  </w:style>
  <w:style w:type="paragraph" w:styleId="6">
    <w:name w:val="heading 5"/>
    <w:basedOn w:val="1"/>
    <w:next w:val="1"/>
    <w:autoRedefine/>
    <w:qFormat/>
    <w:uiPriority w:val="1"/>
    <w:pPr>
      <w:ind w:left="112" w:firstLine="0"/>
      <w:outlineLvl w:val="4"/>
    </w:pPr>
    <w:rPr>
      <w:sz w:val="33"/>
      <w:szCs w:val="33"/>
    </w:rPr>
  </w:style>
  <w:style w:type="character" w:default="1" w:styleId="14">
    <w:name w:val="Default Paragraph Font"/>
    <w:autoRedefine/>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autoRedefine/>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autoRedefine/>
    <w:qFormat/>
    <w:uiPriority w:val="0"/>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autoRedefine/>
    <w:qFormat/>
    <w:uiPriority w:val="0"/>
  </w:style>
  <w:style w:type="character" w:customStyle="1" w:styleId="16">
    <w:name w:val="页眉 字符"/>
    <w:basedOn w:val="14"/>
    <w:autoRedefine/>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autoRedefine/>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autoRedefine/>
    <w:qFormat/>
    <w:uiPriority w:val="0"/>
    <w:pPr>
      <w:keepNext/>
      <w:spacing w:before="240" w:after="120"/>
    </w:pPr>
    <w:rPr>
      <w:rFonts w:ascii="Liberation Sans" w:hAnsi="Liberation Sans"/>
      <w:sz w:val="28"/>
      <w:szCs w:val="28"/>
    </w:rPr>
  </w:style>
  <w:style w:type="paragraph" w:customStyle="1" w:styleId="19">
    <w:name w:val="索引"/>
    <w:basedOn w:val="1"/>
    <w:autoRedefine/>
    <w:qFormat/>
    <w:uiPriority w:val="0"/>
    <w:pPr>
      <w:suppressLineNumbers/>
    </w:pPr>
  </w:style>
  <w:style w:type="paragraph" w:customStyle="1" w:styleId="20">
    <w:name w:val="页眉与页脚"/>
    <w:basedOn w:val="1"/>
    <w:autoRedefine/>
    <w:qFormat/>
    <w:uiPriority w:val="0"/>
  </w:style>
  <w:style w:type="paragraph" w:customStyle="1" w:styleId="21">
    <w:name w:val="List Paragraph"/>
    <w:basedOn w:val="1"/>
    <w:autoRedefine/>
    <w:qFormat/>
    <w:uiPriority w:val="1"/>
    <w:pPr>
      <w:ind w:left="2039" w:hanging="782"/>
    </w:pPr>
  </w:style>
  <w:style w:type="paragraph" w:customStyle="1" w:styleId="22">
    <w:name w:val="Table Paragraph"/>
    <w:basedOn w:val="1"/>
    <w:autoRedefine/>
    <w:qFormat/>
    <w:uiPriority w:val="1"/>
    <w:rPr>
      <w:rFonts w:ascii="宋体" w:hAnsi="宋体" w:eastAsia="宋体" w:cs="宋体"/>
    </w:rPr>
  </w:style>
  <w:style w:type="paragraph" w:customStyle="1" w:styleId="23">
    <w:name w:val="表格内容"/>
    <w:basedOn w:val="1"/>
    <w:autoRedefine/>
    <w:qFormat/>
    <w:uiPriority w:val="0"/>
    <w:pPr>
      <w:suppressLineNumbers/>
    </w:pPr>
  </w:style>
  <w:style w:type="paragraph" w:customStyle="1" w:styleId="24">
    <w:name w:val="表格标题"/>
    <w:basedOn w:val="23"/>
    <w:autoRedefine/>
    <w:qFormat/>
    <w:uiPriority w:val="0"/>
    <w:pPr>
      <w:jc w:val="center"/>
    </w:pPr>
    <w:rPr>
      <w:b/>
      <w:bCs/>
    </w:rPr>
  </w:style>
  <w:style w:type="paragraph" w:customStyle="1" w:styleId="25">
    <w:name w:val="预格式化的文本"/>
    <w:basedOn w:val="1"/>
    <w:autoRedefine/>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10</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太灵通</cp:lastModifiedBy>
  <dcterms:modified xsi:type="dcterms:W3CDTF">2024-03-06T06:22:29Z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F727FA97F5CD4EBFB3B69D294E784225_13</vt:lpwstr>
  </property>
  <property fmtid="{D5CDD505-2E9C-101B-9397-08002B2CF9AE}" pid="5" name="KSOProductBuildVer">
    <vt:lpwstr>2052-12.1.0.16388</vt:lpwstr>
  </property>
  <property fmtid="{D5CDD505-2E9C-101B-9397-08002B2CF9AE}" pid="6" name="LastSaved">
    <vt:filetime>2021-04-15T00:00:00Z</vt:filetime>
  </property>
</Properties>
</file>